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  <w:widowControl/>
        <w:spacing w:after="400"/>
      </w:pPr>
      <w:r>
        <w:rPr>
          <w:rFonts w:ascii="Noto Sans CJK SC" w:hAnsi="Noto Sans CJK SC" w:eastAsia="Noto Sans CJK SC"/>
          <w:b/>
          <w:color w:val="168B84"/>
          <w:sz w:val="17"/>
        </w:rPr>
        <w:t>公开资料演示版  ·  交付结构样板</w:t>
      </w:r>
    </w:p>
    <w:p>
      <w:pPr>
        <w:pStyle w:val="Title"/>
        <w:widowControl/>
        <w:spacing w:after="240" w:line="760" w:lineRule="exact"/>
      </w:pPr>
      <w:r>
        <w:rPr>
          <w:rFonts w:ascii="Noto Sans CJK SC" w:hAnsi="Noto Sans CJK SC" w:eastAsia="Noto Sans CJK SC"/>
          <w:b/>
          <w:color w:val="27204F"/>
          <w:sz w:val="54"/>
        </w:rPr>
        <w:t>核心在售SKU内容与</w:t>
        <w:br/>
      </w:r>
      <w:r>
        <w:rPr>
          <w:rFonts w:ascii="Noto Sans CJK SC" w:hAnsi="Noto Sans CJK SC" w:eastAsia="Noto Sans CJK SC"/>
          <w:b/>
          <w:color w:val="27204F"/>
          <w:sz w:val="54"/>
        </w:rPr>
        <w:t>消费者问题核查</w:t>
      </w:r>
    </w:p>
    <w:p>
      <w:pPr>
        <w:widowControl/>
        <w:spacing w:after="520"/>
      </w:pPr>
      <w:r>
        <w:rPr>
          <w:rFonts w:ascii="Noto Sans CJK SC" w:hAnsi="Noto Sans CJK SC" w:eastAsia="Noto Sans CJK SC"/>
          <w:b/>
          <w:color w:val="168B84"/>
          <w:sz w:val="24"/>
        </w:rPr>
        <w:t>Core SKU Content &amp; Consumer Issue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194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bottom w:val="single" w:sz="4" w:color="D9D9E2"/>
            </w:tcBorders>
            <w:shd w:fill="F1EEF8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27204F"/>
                <w:sz w:val="19"/>
              </w:rPr>
              <w:t>演示SKU</w:t>
            </w:r>
          </w:p>
        </w:tc>
        <w:tc>
          <w:tcPr>
            <w:tcW w:type="dxa" w:w="8063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bottom w:val="single" w:sz="4" w:color="D9D9E2"/>
            </w:tcBorders>
            <w:shd w:fill="FFFFFF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19"/>
              </w:rPr>
              <w:t>Lumineux® Super Pack Teeth Whitening Strips（21 Treatments）</w:t>
            </w:r>
          </w:p>
        </w:tc>
      </w:tr>
      <w:tr>
        <w:tc>
          <w:tcPr>
            <w:tcW w:type="dxa" w:w="194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bottom w:val="single" w:sz="4" w:color="D9D9E2"/>
            </w:tcBorders>
            <w:shd w:fill="F1EEF8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27204F"/>
                <w:sz w:val="19"/>
              </w:rPr>
              <w:t>目标市场</w:t>
            </w:r>
          </w:p>
        </w:tc>
        <w:tc>
          <w:tcPr>
            <w:tcW w:type="dxa" w:w="8063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bottom w:val="single" w:sz="4" w:color="D9D9E2"/>
            </w:tcBorders>
            <w:shd w:fill="FFFFFF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19"/>
              </w:rPr>
              <w:t>美国市场／英文公开资料</w:t>
            </w:r>
          </w:p>
        </w:tc>
      </w:tr>
      <w:tr>
        <w:tc>
          <w:tcPr>
            <w:tcW w:type="dxa" w:w="194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bottom w:val="single" w:sz="4" w:color="D9D9E2"/>
            </w:tcBorders>
            <w:shd w:fill="F1EEF8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27204F"/>
                <w:sz w:val="19"/>
              </w:rPr>
              <w:t>公开来源</w:t>
            </w:r>
          </w:p>
        </w:tc>
        <w:tc>
          <w:tcPr>
            <w:tcW w:type="dxa" w:w="8063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bottom w:val="single" w:sz="4" w:color="D9D9E2"/>
            </w:tcBorders>
            <w:shd w:fill="FFFFFF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19"/>
              </w:rPr>
              <w:t>品牌官网、品牌帮助中心、Target、Walmart</w:t>
            </w:r>
          </w:p>
        </w:tc>
      </w:tr>
      <w:tr>
        <w:tc>
          <w:tcPr>
            <w:tcW w:type="dxa" w:w="194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bottom w:val="single" w:sz="4" w:color="D9D9E2"/>
            </w:tcBorders>
            <w:shd w:fill="F1EEF8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27204F"/>
                <w:sz w:val="19"/>
              </w:rPr>
              <w:t>检索日期</w:t>
            </w:r>
          </w:p>
        </w:tc>
        <w:tc>
          <w:tcPr>
            <w:tcW w:type="dxa" w:w="8063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bottom w:val="single" w:sz="4" w:color="D9D9E2"/>
            </w:tcBorders>
            <w:shd w:fill="FFFFFF"/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19"/>
              </w:rPr>
              <w:t>2026年8月3日</w:t>
            </w:r>
          </w:p>
        </w:tc>
      </w:tr>
    </w:tbl>
    <w:p>
      <w:pPr>
        <w:widowControl/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10008"/>
            <w:shd w:fill="E8F5F3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left w:val="single" w:sz="18" w:color="168B84"/>
              <w:top w:val="nil"/>
              <w:bottom w:val="nil"/>
              <w:right w:val="nil"/>
            </w:tcBorders>
          </w:tcPr>
          <w:p>
            <w:pPr>
              <w:spacing w:after="0" w:line="300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本样板展示核查方法和交付结构。结论仅基于公开页面，不构成法律、医疗、监管、临床或产品质量判断。正式项目需要客户确认产品版本、包装、配方及内部使用规则。</w:t>
            </w:r>
          </w:p>
        </w:tc>
      </w:tr>
    </w:tbl>
    <w:p>
      <w:pPr>
        <w:widowControl/>
        <w:spacing w:after="140"/>
      </w:pPr>
    </w:p>
    <w:p>
      <w:pPr>
        <w:pStyle w:val="Heading2"/>
        <w:keepNext w:val="0"/>
        <w:widowControl/>
        <w:spacing w:after="200" w:before="360"/>
      </w:pPr>
      <w:r>
        <w:rPr>
          <w:rFonts w:ascii="Noto Sans CJK SC" w:hAnsi="Noto Sans CJK SC" w:eastAsia="Noto Sans CJK SC"/>
        </w:rPr>
        <w:t>样板要回答的业务问题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2"/>
            <w:tcMar>
              <w:top w:w="95" w:type="dxa"/>
              <w:start w:w="80" w:type="dxa"/>
              <w:bottom w:w="95" w:type="dxa"/>
              <w:end w:w="80" w:type="dxa"/>
            </w:tcMar>
            <w:tcBorders>
              <w:bottom w:val="single" w:sz="3" w:color="D9D9E2"/>
            </w:tcBorders>
            <w:shd w:fill="E8F5F3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168B84"/>
                <w:sz w:val="19"/>
              </w:rPr>
              <w:t>01</w:t>
            </w:r>
          </w:p>
        </w:tc>
        <w:tc>
          <w:tcPr>
            <w:tcW w:type="dxa" w:w="8899"/>
            <w:tcMar>
              <w:top w:w="95" w:type="dxa"/>
              <w:start w:w="80" w:type="dxa"/>
              <w:bottom w:w="95" w:type="dxa"/>
              <w:end w:w="80" w:type="dxa"/>
            </w:tcMar>
            <w:tcBorders>
              <w:bottom w:val="single" w:sz="3" w:color="D9D9E2"/>
            </w:tcBorders>
            <w:shd w:fill="FFFFFF"/>
          </w:tcPr>
          <w:p>
            <w:pPr>
              <w:spacing w:after="0" w:line="312" w:lineRule="auto"/>
            </w:pPr>
            <w:r>
              <w:rPr>
                <w:rFonts w:ascii="Noto Sans CJK SC" w:hAnsi="Noto Sans CJK SC" w:eastAsia="Noto Sans CJK SC"/>
                <w:color w:val="222222"/>
                <w:sz w:val="21"/>
              </w:rPr>
              <w:t>同一SKU在产品页、帮助中心和零售渠道中的关键信息是否一致？</w:t>
            </w:r>
          </w:p>
        </w:tc>
      </w:tr>
      <w:tr>
        <w:tc>
          <w:tcPr>
            <w:tcW w:type="dxa" w:w="892"/>
            <w:tcMar>
              <w:top w:w="95" w:type="dxa"/>
              <w:start w:w="80" w:type="dxa"/>
              <w:bottom w:w="95" w:type="dxa"/>
              <w:end w:w="80" w:type="dxa"/>
            </w:tcMar>
            <w:tcBorders>
              <w:bottom w:val="single" w:sz="3" w:color="D9D9E2"/>
            </w:tcBorders>
            <w:shd w:fill="E8F5F3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168B84"/>
                <w:sz w:val="19"/>
              </w:rPr>
              <w:t>02</w:t>
            </w:r>
          </w:p>
        </w:tc>
        <w:tc>
          <w:tcPr>
            <w:tcW w:type="dxa" w:w="8899"/>
            <w:tcMar>
              <w:top w:w="95" w:type="dxa"/>
              <w:start w:w="80" w:type="dxa"/>
              <w:bottom w:w="95" w:type="dxa"/>
              <w:end w:w="80" w:type="dxa"/>
            </w:tcMar>
            <w:tcBorders>
              <w:bottom w:val="single" w:sz="3" w:color="D9D9E2"/>
            </w:tcBorders>
            <w:shd w:fill="FFFFFF"/>
          </w:tcPr>
          <w:p>
            <w:pPr>
              <w:spacing w:after="0" w:line="312" w:lineRule="auto"/>
            </w:pPr>
            <w:r>
              <w:rPr>
                <w:rFonts w:ascii="Noto Sans CJK SC" w:hAnsi="Noto Sans CJK SC" w:eastAsia="Noto Sans CJK SC"/>
                <w:color w:val="222222"/>
                <w:sz w:val="21"/>
              </w:rPr>
              <w:t>公开反馈反复出现的问题，现有页面是否已经在购买前和使用前解释？</w:t>
            </w:r>
          </w:p>
        </w:tc>
      </w:tr>
      <w:tr>
        <w:tc>
          <w:tcPr>
            <w:tcW w:type="dxa" w:w="892"/>
            <w:tcMar>
              <w:top w:w="95" w:type="dxa"/>
              <w:start w:w="80" w:type="dxa"/>
              <w:bottom w:w="95" w:type="dxa"/>
              <w:end w:w="80" w:type="dxa"/>
            </w:tcMar>
            <w:tcBorders>
              <w:bottom w:val="single" w:sz="3" w:color="D9D9E2"/>
            </w:tcBorders>
            <w:shd w:fill="E8F5F3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168B84"/>
                <w:sz w:val="19"/>
              </w:rPr>
              <w:t>03</w:t>
            </w:r>
          </w:p>
        </w:tc>
        <w:tc>
          <w:tcPr>
            <w:tcW w:type="dxa" w:w="8899"/>
            <w:tcMar>
              <w:top w:w="95" w:type="dxa"/>
              <w:start w:w="80" w:type="dxa"/>
              <w:bottom w:w="95" w:type="dxa"/>
              <w:end w:w="80" w:type="dxa"/>
            </w:tcMar>
            <w:tcBorders>
              <w:bottom w:val="single" w:sz="3" w:color="D9D9E2"/>
            </w:tcBorders>
            <w:shd w:fill="FFFFFF"/>
          </w:tcPr>
          <w:p>
            <w:pPr>
              <w:spacing w:after="0" w:line="312" w:lineRule="auto"/>
            </w:pPr>
            <w:r>
              <w:rPr>
                <w:rFonts w:ascii="Noto Sans CJK SC" w:hAnsi="Noto Sans CJK SC" w:eastAsia="Noto Sans CJK SC"/>
                <w:color w:val="222222"/>
                <w:sz w:val="21"/>
              </w:rPr>
              <w:t>哪些内容应先确认、先修改，哪些需要专业人员复核？</w:t>
            </w:r>
          </w:p>
        </w:tc>
      </w:tr>
    </w:tbl>
    <w:p>
      <w:pPr>
        <w:widowControl/>
      </w:pPr>
      <w:r>
        <w:br w:type="page"/>
      </w:r>
    </w:p>
    <w:p>
      <w:pPr>
        <w:pStyle w:val="Eyebrow"/>
        <w:widowControl/>
      </w:pPr>
      <w:r>
        <w:rPr>
          <w:rFonts w:ascii="Noto Sans CJK SC" w:hAnsi="Noto Sans CJK SC" w:eastAsia="Noto Sans CJK SC"/>
          <w:b/>
          <w:color w:val="168B84"/>
          <w:sz w:val="17"/>
        </w:rPr>
        <w:t>01  EXECUTIVE SNAPSHOT</w:t>
      </w:r>
    </w:p>
    <w:p>
      <w:pPr>
        <w:pStyle w:val="Heading1"/>
        <w:keepNext w:val="0"/>
        <w:widowControl/>
      </w:pPr>
      <w:r>
        <w:rPr>
          <w:rFonts w:ascii="Noto Sans CJK SC" w:hAnsi="Noto Sans CJK SC" w:eastAsia="Noto Sans CJK SC"/>
        </w:rPr>
        <w:t>一页决策摘要</w:t>
      </w:r>
    </w:p>
    <w:p>
      <w:pPr>
        <w:pStyle w:val="PageIntro"/>
        <w:keepNext w:val="0"/>
        <w:widowControl/>
      </w:pPr>
      <w:r>
        <w:rPr>
          <w:rFonts w:ascii="Noto Sans CJK SC" w:hAnsi="Noto Sans CJK SC" w:eastAsia="Noto Sans CJK SC"/>
        </w:rPr>
        <w:t>公开资料显示，当前最值得处理的并非文案是否顺口，而是同一主题在不同页面使用了不同的确定程度。以下两项应优先由产品团队确认。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BE9E8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P0  修复体预期需要统一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品牌帮助中心将“是否可以使用”与“是否会像天然牙一样变白”放在相近语境中；产品页FAQ又说明牙冠、贴面、补牙和粘接材料通常不会同步改变色泽。消费者可能难以区分安全性与效果预期。</w:t>
            </w:r>
          </w:p>
        </w:tc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2E3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P1  使用频次需要SKU化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产品页给出连续7天、之后每周1—2次的维护方案；帮助中心则使用可每日使用等更宽泛表达。应确认21次装的初始疗程、单日上限和维护频率，再统一到所有页面。</w:t>
            </w:r>
          </w:p>
        </w:tc>
      </w:tr>
    </w:tbl>
    <w:p>
      <w:pPr>
        <w:widowControl/>
        <w:spacing w:after="140"/>
      </w:pPr>
    </w:p>
    <w:p>
      <w:pPr>
        <w:pStyle w:val="Heading2"/>
        <w:keepNext w:val="0"/>
        <w:widowControl/>
        <w:spacing w:before="160"/>
      </w:pPr>
      <w:r>
        <w:rPr>
          <w:rFonts w:ascii="Noto Sans CJK SC" w:hAnsi="Noto Sans CJK SC" w:eastAsia="Noto Sans CJK SC"/>
        </w:rPr>
        <w:t>本轮还应处理的三项内容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1EEF8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贴合指导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零售反馈出现难以保持贴合的体验，而品牌帮助内容对残留物的解释比贴合步骤更完整。</w:t>
            </w:r>
          </w:p>
        </w:tc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E8F5F3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效果边界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官网强调可见美白和敏感牙适用；品牌FAQ同时承认部分深层着色可能难以改善。限制条件应更靠近购买决策位置。</w:t>
            </w:r>
          </w:p>
        </w:tc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5F5F7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结果持续时间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产品页和零售页使用较宽泛的持久性表达，FAQ则给出约4周且因习惯而异的说明。需要统一时间口径和限定条件。</w:t>
            </w:r>
          </w:p>
        </w:tc>
      </w:tr>
    </w:tbl>
    <w:p>
      <w:pPr>
        <w:widowControl/>
        <w:spacing w:after="140"/>
      </w:pPr>
    </w:p>
    <w:p>
      <w:pPr>
        <w:pStyle w:val="Heading2"/>
        <w:keepNext w:val="0"/>
        <w:widowControl/>
        <w:spacing w:before="120"/>
      </w:pPr>
      <w:r>
        <w:rPr>
          <w:rFonts w:ascii="Noto Sans CJK SC" w:hAnsi="Noto Sans CJK SC" w:eastAsia="Noto Sans CJK SC"/>
        </w:rPr>
        <w:t>建议的内部处理顺序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FFF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1  产品确认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确认修复体、频次、持续时间和SKU版本事实。</w:t>
            </w:r>
          </w:p>
        </w:tc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FFF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2  页面统一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同步官网、帮助中心及主要零售渠道。</w:t>
            </w:r>
          </w:p>
        </w:tc>
      </w:tr>
      <w:tr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FFF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3  客服补充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补齐贴合、残留、修复体和效果预期答案。</w:t>
            </w:r>
          </w:p>
        </w:tc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FFF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4  专业复核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对健康、效果和限制性表达进行必要复核。</w:t>
            </w:r>
          </w:p>
        </w:tc>
      </w:tr>
    </w:tbl>
    <w:p>
      <w:pPr>
        <w:widowControl/>
        <w:spacing w:after="140"/>
      </w:pPr>
    </w:p>
    <w:p>
      <w:pPr>
        <w:widowControl/>
      </w:pPr>
      <w:r>
        <w:br w:type="page"/>
      </w:r>
    </w:p>
    <w:p>
      <w:pPr>
        <w:pStyle w:val="Eyebrow"/>
        <w:widowControl/>
      </w:pPr>
      <w:r>
        <w:rPr>
          <w:rFonts w:ascii="Noto Sans CJK SC" w:hAnsi="Noto Sans CJK SC" w:eastAsia="Noto Sans CJK SC"/>
          <w:b/>
          <w:color w:val="168B84"/>
          <w:sz w:val="17"/>
        </w:rPr>
        <w:t>02  FACT &amp; CHANNEL CHECK</w:t>
      </w:r>
    </w:p>
    <w:p>
      <w:pPr>
        <w:pStyle w:val="Heading1"/>
        <w:keepNext w:val="0"/>
        <w:widowControl/>
      </w:pPr>
      <w:r>
        <w:rPr>
          <w:rFonts w:ascii="Noto Sans CJK SC" w:hAnsi="Noto Sans CJK SC" w:eastAsia="Noto Sans CJK SC"/>
        </w:rPr>
        <w:t>产品事实与渠道一致性</w:t>
      </w:r>
    </w:p>
    <w:p>
      <w:pPr>
        <w:pStyle w:val="PageIntro"/>
        <w:keepNext w:val="0"/>
        <w:widowControl/>
      </w:pPr>
      <w:r>
        <w:rPr>
          <w:rFonts w:ascii="Noto Sans CJK SC" w:hAnsi="Noto Sans CJK SC" w:eastAsia="Noto Sans CJK SC"/>
        </w:rPr>
        <w:t>本页只比较公开表达是否互相对应，不判断产品性能，也不判断相关声明是否已经具备充分专业证据。</w:t>
      </w:r>
    </w:p>
    <w:p>
      <w:pPr>
        <w:pStyle w:val="Heading2"/>
        <w:keepNext w:val="0"/>
        <w:widowControl/>
      </w:pPr>
      <w:r>
        <w:rPr>
          <w:rFonts w:ascii="Noto Sans CJK SC" w:hAnsi="Noto Sans CJK SC" w:eastAsia="Noto Sans CJK SC"/>
        </w:rPr>
        <w:t>优先核对的三个字段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BE9E8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修复体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需要把“是否可以使用”与“是否能够改变修复体颜色”拆开写。</w:t>
            </w:r>
          </w:p>
        </w:tc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2E3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使用频次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需要为21次装建立一个SKU级初始疗程、单日上限和维护频次。</w:t>
            </w:r>
          </w:p>
        </w:tc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E8F5F3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贴合步骤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公开反馈已出现贴合问题，现有帮助内容缺少同等清楚的操作指引。</w:t>
            </w:r>
          </w:p>
        </w:tc>
      </w:tr>
    </w:tbl>
    <w:p>
      <w:pPr>
        <w:widowControl/>
        <w:spacing w:after="140"/>
      </w:pPr>
    </w:p>
    <w:p>
      <w:pPr>
        <w:pStyle w:val="Heading2"/>
        <w:keepNext w:val="0"/>
        <w:widowControl/>
        <w:spacing w:before="320"/>
      </w:pPr>
      <w:r>
        <w:rPr>
          <w:rFonts w:ascii="Noto Sans CJK SC" w:hAnsi="Noto Sans CJK SC" w:eastAsia="Noto Sans CJK SC"/>
        </w:rPr>
        <w:t>关键字段对照（上）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151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27204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检查字段</w:t>
            </w:r>
          </w:p>
        </w:tc>
        <w:tc>
          <w:tcPr>
            <w:tcW w:type="dxa" w:w="3384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27204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公开表达概况</w:t>
            </w:r>
          </w:p>
        </w:tc>
        <w:tc>
          <w:tcPr>
            <w:tcW w:type="dxa" w:w="252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27204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当前缺口</w:t>
            </w:r>
          </w:p>
        </w:tc>
        <w:tc>
          <w:tcPr>
            <w:tcW w:type="dxa" w:w="259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27204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建议动作</w:t>
            </w:r>
          </w:p>
        </w:tc>
      </w:tr>
      <w:tr>
        <w:tc>
          <w:tcPr>
            <w:tcW w:type="dxa" w:w="151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产品定位</w:t>
            </w:r>
          </w:p>
        </w:tc>
        <w:tc>
          <w:tcPr>
            <w:tcW w:type="dxa" w:w="3384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无过氧化物、强调温和和敏感牙体验；零售页使用更强的安全与验证措辞。</w:t>
            </w:r>
          </w:p>
        </w:tc>
        <w:tc>
          <w:tcPr>
            <w:tcW w:type="dxa" w:w="252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不同渠道的确定程度不一致。</w:t>
            </w:r>
          </w:p>
        </w:tc>
        <w:tc>
          <w:tcPr>
            <w:tcW w:type="dxa" w:w="259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统一核心卖点及限定语。</w:t>
            </w:r>
          </w:p>
        </w:tc>
      </w:tr>
      <w:tr>
        <w:tc>
          <w:tcPr>
            <w:tcW w:type="dxa" w:w="151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单次使用</w:t>
            </w:r>
          </w:p>
        </w:tc>
        <w:tc>
          <w:tcPr>
            <w:tcW w:type="dxa" w:w="3384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产品页和FAQ均写30分钟，并提示不应超过60分钟。</w:t>
            </w:r>
          </w:p>
        </w:tc>
        <w:tc>
          <w:tcPr>
            <w:tcW w:type="dxa" w:w="252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主要页面基本一致。</w:t>
            </w:r>
          </w:p>
        </w:tc>
        <w:tc>
          <w:tcPr>
            <w:tcW w:type="dxa" w:w="259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保留现有口径并核对包装。</w:t>
            </w:r>
          </w:p>
        </w:tc>
      </w:tr>
      <w:tr>
        <w:tc>
          <w:tcPr>
            <w:tcW w:type="dxa" w:w="151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使用频次</w:t>
            </w:r>
          </w:p>
        </w:tc>
        <w:tc>
          <w:tcPr>
            <w:tcW w:type="dxa" w:w="3384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产品页写连续7天后每周维护；帮助中心使用可每日使用等宽泛表达。</w:t>
            </w:r>
          </w:p>
        </w:tc>
        <w:tc>
          <w:tcPr>
            <w:tcW w:type="dxa" w:w="252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缺少SKU级唯一版本。</w:t>
            </w:r>
          </w:p>
        </w:tc>
        <w:tc>
          <w:tcPr>
            <w:tcW w:type="dxa" w:w="259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由产品团队确认后全渠道同步。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10008"/>
            <w:shd w:fill="E8F5F3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left w:val="single" w:sz="18" w:color="168B84"/>
              <w:top w:val="nil"/>
              <w:bottom w:val="nil"/>
              <w:right w:val="nil"/>
            </w:tcBorders>
          </w:tcPr>
          <w:p>
            <w:pPr>
              <w:spacing w:after="0" w:line="300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上半部分先确认基础使用规则。若SKU级事实没有唯一版本，后续FAQ、客服和渠道页面都难以稳定同步。</w:t>
            </w:r>
          </w:p>
        </w:tc>
      </w:tr>
    </w:tbl>
    <w:p>
      <w:pPr>
        <w:widowControl/>
        <w:spacing w:after="140"/>
      </w:pPr>
    </w:p>
    <w:p>
      <w:pPr>
        <w:widowControl/>
      </w:pPr>
      <w:r>
        <w:br w:type="page"/>
      </w:r>
    </w:p>
    <w:p>
      <w:pPr>
        <w:pStyle w:val="Eyebrow"/>
        <w:widowControl/>
      </w:pPr>
      <w:r>
        <w:rPr>
          <w:rFonts w:ascii="Noto Sans CJK SC" w:hAnsi="Noto Sans CJK SC" w:eastAsia="Noto Sans CJK SC"/>
          <w:b/>
          <w:color w:val="168B84"/>
          <w:sz w:val="17"/>
        </w:rPr>
        <w:t>02B  FACT &amp; CHANNEL CHECK — CONTINUED</w:t>
      </w:r>
    </w:p>
    <w:p>
      <w:pPr>
        <w:pStyle w:val="Heading1"/>
        <w:keepNext w:val="0"/>
        <w:widowControl/>
      </w:pPr>
      <w:r>
        <w:rPr>
          <w:rFonts w:ascii="Noto Sans CJK SC" w:hAnsi="Noto Sans CJK SC" w:eastAsia="Noto Sans CJK SC"/>
        </w:rPr>
        <w:t>产品事实与渠道一致性（续）</w:t>
      </w:r>
    </w:p>
    <w:p>
      <w:pPr>
        <w:pStyle w:val="PageIntro"/>
        <w:keepNext w:val="0"/>
        <w:widowControl/>
      </w:pPr>
      <w:r>
        <w:rPr>
          <w:rFonts w:ascii="Noto Sans CJK SC" w:hAnsi="Noto Sans CJK SC" w:eastAsia="Noto Sans CJK SC"/>
        </w:rPr>
        <w:t>下半部分聚焦消费者最容易产生错误预期的主题：修复体、效果边界，以及残留与贴合。</w:t>
      </w:r>
    </w:p>
    <w:p>
      <w:pPr>
        <w:pStyle w:val="Heading2"/>
        <w:keepNext w:val="0"/>
        <w:widowControl/>
      </w:pPr>
      <w:r>
        <w:rPr>
          <w:rFonts w:ascii="Noto Sans CJK SC" w:hAnsi="Noto Sans CJK SC" w:eastAsia="Noto Sans CJK SC"/>
        </w:rPr>
        <w:t>关键字段对照（下）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151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27204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检查字段</w:t>
            </w:r>
          </w:p>
        </w:tc>
        <w:tc>
          <w:tcPr>
            <w:tcW w:type="dxa" w:w="3384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27204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公开表达概况</w:t>
            </w:r>
          </w:p>
        </w:tc>
        <w:tc>
          <w:tcPr>
            <w:tcW w:type="dxa" w:w="252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27204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当前缺口</w:t>
            </w:r>
          </w:p>
        </w:tc>
        <w:tc>
          <w:tcPr>
            <w:tcW w:type="dxa" w:w="259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27204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建议动作</w:t>
            </w:r>
          </w:p>
        </w:tc>
      </w:tr>
      <w:tr>
        <w:tc>
          <w:tcPr>
            <w:tcW w:type="dxa" w:w="151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修复体</w:t>
            </w:r>
          </w:p>
        </w:tc>
        <w:tc>
          <w:tcPr>
            <w:tcW w:type="dxa" w:w="3384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产品页说明修复体通常不会同样变色；帮助内容强调对瓷和粘接材料可使用。</w:t>
            </w:r>
          </w:p>
        </w:tc>
        <w:tc>
          <w:tcPr>
            <w:tcW w:type="dxa" w:w="252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安全性与结果预期容易混在一起。</w:t>
            </w:r>
          </w:p>
        </w:tc>
        <w:tc>
          <w:tcPr>
            <w:tcW w:type="dxa" w:w="259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拆成两个独立问答。</w:t>
            </w:r>
          </w:p>
        </w:tc>
      </w:tr>
      <w:tr>
        <w:tc>
          <w:tcPr>
            <w:tcW w:type="dxa" w:w="151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效果范围</w:t>
            </w:r>
          </w:p>
        </w:tc>
        <w:tc>
          <w:tcPr>
            <w:tcW w:type="dxa" w:w="3384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官网强调可见美白；FAQ承认部分深层着色改善有限。</w:t>
            </w:r>
          </w:p>
        </w:tc>
        <w:tc>
          <w:tcPr>
            <w:tcW w:type="dxa" w:w="252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限制条件位置较深。</w:t>
            </w:r>
          </w:p>
        </w:tc>
        <w:tc>
          <w:tcPr>
            <w:tcW w:type="dxa" w:w="259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把适用边界移到效果主张附近。</w:t>
            </w:r>
          </w:p>
        </w:tc>
      </w:tr>
      <w:tr>
        <w:tc>
          <w:tcPr>
            <w:tcW w:type="dxa" w:w="151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残留与贴合</w:t>
            </w:r>
          </w:p>
        </w:tc>
        <w:tc>
          <w:tcPr>
            <w:tcW w:type="dxa" w:w="3384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帮助中心回答残留；公开反馈仍出现残留和贴合问题。</w:t>
            </w:r>
          </w:p>
        </w:tc>
        <w:tc>
          <w:tcPr>
            <w:tcW w:type="dxa" w:w="252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购买页和使用步骤覆盖不足。</w:t>
            </w:r>
          </w:p>
        </w:tc>
        <w:tc>
          <w:tcPr>
            <w:tcW w:type="dxa" w:w="259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在使用步骤附近增加提示。</w:t>
            </w:r>
          </w:p>
        </w:tc>
      </w:tr>
    </w:tbl>
    <w:p>
      <w:pPr>
        <w:pStyle w:val="Heading2"/>
        <w:keepNext w:val="0"/>
        <w:widowControl/>
        <w:spacing w:before="360"/>
      </w:pPr>
      <w:r>
        <w:rPr>
          <w:rFonts w:ascii="Noto Sans CJK SC" w:hAnsi="Noto Sans CJK SC" w:eastAsia="Noto Sans CJK SC"/>
        </w:rPr>
        <w:t>这一页需要回答的判断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1EEF8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信息并不少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官网、FAQ和帮助中心已经覆盖了多数主题。</w:t>
            </w:r>
          </w:p>
        </w:tc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2E3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限制条件太分散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消费者在购买页看到结论，在帮助中心才看到边界。</w:t>
            </w:r>
          </w:p>
        </w:tc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E8F5F3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优先做结构统一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先统一答案，再决定是否需要扩大文案或专业复核。</w:t>
            </w:r>
          </w:p>
        </w:tc>
      </w:tr>
    </w:tbl>
    <w:p>
      <w:pPr>
        <w:widowControl/>
        <w:spacing w:after="1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10008"/>
            <w:shd w:fill="E8F5F3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left w:val="single" w:sz="18" w:color="168B84"/>
              <w:top w:val="nil"/>
              <w:bottom w:val="nil"/>
              <w:right w:val="nil"/>
            </w:tcBorders>
          </w:tcPr>
          <w:p>
            <w:pPr>
              <w:spacing w:after="0" w:line="300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核心判断：当前并非缺少信息，而是同一主题分散在不同位置。正式项目应先确定SKU级事实，再同步到购买页、FAQ和客服。</w:t>
            </w:r>
          </w:p>
        </w:tc>
      </w:tr>
    </w:tbl>
    <w:p>
      <w:pPr>
        <w:widowControl/>
        <w:spacing w:after="140"/>
      </w:pPr>
    </w:p>
    <w:p>
      <w:pPr>
        <w:widowControl/>
      </w:pPr>
      <w:r>
        <w:br w:type="page"/>
      </w:r>
    </w:p>
    <w:p>
      <w:pPr>
        <w:pStyle w:val="Eyebrow"/>
        <w:widowControl/>
      </w:pPr>
      <w:r>
        <w:rPr>
          <w:rFonts w:ascii="Noto Sans CJK SC" w:hAnsi="Noto Sans CJK SC" w:eastAsia="Noto Sans CJK SC"/>
          <w:b/>
          <w:color w:val="168B84"/>
          <w:sz w:val="17"/>
        </w:rPr>
        <w:t>03  CONSUMER ISSUE MAP</w:t>
      </w:r>
    </w:p>
    <w:p>
      <w:pPr>
        <w:pStyle w:val="Heading1"/>
        <w:keepNext w:val="0"/>
        <w:widowControl/>
      </w:pPr>
      <w:r>
        <w:rPr>
          <w:rFonts w:ascii="Noto Sans CJK SC" w:hAnsi="Noto Sans CJK SC" w:eastAsia="Noto Sans CJK SC"/>
        </w:rPr>
        <w:t>消费者问题与页面缺口图</w:t>
      </w:r>
    </w:p>
    <w:p>
      <w:pPr>
        <w:pStyle w:val="PageIntro"/>
        <w:keepNext w:val="0"/>
        <w:widowControl/>
      </w:pPr>
      <w:r>
        <w:rPr>
          <w:rFonts w:ascii="Noto Sans CJK SC" w:hAnsi="Noto Sans CJK SC" w:eastAsia="Noto Sans CJK SC"/>
        </w:rPr>
        <w:t>本演示使用零售平台公开摘要、主题标签及可见评论示例。正式项目会固定抽取60—100条近期有效反馈，并保留逐条编码记录。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FFF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贴合与滑动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公开信号：部分用户难以保持贴合。</w:t>
              <w:br/>
              <w:t>页面缺口：缺少独立、清楚的贴合步骤。</w:t>
              <w:br/>
              <w:t>建议位置：产品页步骤＋FAQ。</w:t>
            </w:r>
          </w:p>
        </w:tc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FFF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取下后的残留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公开信号：牙面残留被反复提及。</w:t>
              <w:br/>
              <w:t>页面缺口：已有解释，但购买页不明显。</w:t>
              <w:br/>
              <w:t>建议位置：使用步骤下方。</w:t>
            </w:r>
          </w:p>
        </w:tc>
      </w:tr>
      <w:tr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FFF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效果不明显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公开信号：明显变白与效果有限并存。</w:t>
              <w:br/>
              <w:t>页面缺口：适用边界位置较深。</w:t>
              <w:br/>
              <w:t>建议位置：效果主张附近。</w:t>
            </w:r>
          </w:p>
        </w:tc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FFF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敏感与舒适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公开信号：大量正面反馈认可温和体验，也存在个别不适。</w:t>
              <w:br/>
              <w:t>页面缺口：绝对化语言会放大承诺落差。</w:t>
              <w:br/>
              <w:t>建议位置：核心卖点＋限定语。</w:t>
            </w:r>
          </w:p>
        </w:tc>
      </w:tr>
      <w:tr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FFF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牙冠／贴面／补牙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公开信号：品牌不同页面从不同角度回答。</w:t>
              <w:br/>
              <w:t>页面缺口：安全性与是否变白没有充分分开。</w:t>
              <w:br/>
              <w:t>建议位置：统一FAQ＋页面提示。</w:t>
            </w:r>
          </w:p>
        </w:tc>
        <w:tc>
          <w:tcPr>
            <w:tcW w:type="dxa" w:w="4917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FFF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频次与维护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公开信号：不同页面对使用强度表达不同。</w:t>
              <w:br/>
              <w:t>页面缺口：SKU级规则不集中。</w:t>
              <w:br/>
              <w:t>建议位置：使用说明＋FAQ。</w:t>
            </w:r>
          </w:p>
        </w:tc>
      </w:tr>
    </w:tbl>
    <w:p>
      <w:pPr>
        <w:widowControl/>
        <w:spacing w:after="140"/>
      </w:pPr>
    </w:p>
    <w:p>
      <w:pPr>
        <w:pStyle w:val="Heading2"/>
        <w:keepNext w:val="0"/>
        <w:widowControl/>
        <w:spacing w:before="120"/>
      </w:pPr>
      <w:r>
        <w:rPr>
          <w:rFonts w:ascii="Noto Sans CJK SC" w:hAnsi="Noto Sans CJK SC" w:eastAsia="Noto Sans CJK SC"/>
        </w:rPr>
        <w:t>页面重点与消费者重点的落差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39"/>
            <w:tcMar>
              <w:top w:w="110" w:type="dxa"/>
              <w:start w:w="150" w:type="dxa"/>
              <w:bottom w:w="110" w:type="dxa"/>
              <w:end w:w="150" w:type="dxa"/>
            </w:tcMar>
            <w:shd w:fill="27204F"/>
          </w:tcPr>
          <w:p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页面反复强调</w:t>
            </w:r>
          </w:p>
        </w:tc>
        <w:tc>
          <w:tcPr>
            <w:tcW w:type="dxa" w:w="4939"/>
            <w:tcMar>
              <w:top w:w="110" w:type="dxa"/>
              <w:start w:w="150" w:type="dxa"/>
              <w:bottom w:w="110" w:type="dxa"/>
              <w:end w:w="150" w:type="dxa"/>
            </w:tcMar>
            <w:shd w:fill="168B84"/>
          </w:tcPr>
          <w:p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消费者仍需要更清楚的答案</w:t>
            </w:r>
          </w:p>
        </w:tc>
      </w:tr>
      <w:tr>
        <w:tc>
          <w:tcPr>
            <w:tcW w:type="dxa" w:w="4939"/>
            <w:tcMar>
              <w:top w:w="145" w:type="dxa"/>
              <w:start w:w="160" w:type="dxa"/>
              <w:bottom w:w="145" w:type="dxa"/>
              <w:end w:w="160" w:type="dxa"/>
            </w:tcMar>
            <w:shd w:fill="F1EEF8"/>
          </w:tcPr>
          <w:p>
            <w:pPr>
              <w:spacing w:after="0" w:line="312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无过氧化物与珐琅质友好</w:t>
              <w:br/>
              <w:t>温和、适合敏感牙</w:t>
              <w:br/>
              <w:t>可见美白与长期维护</w:t>
            </w:r>
          </w:p>
        </w:tc>
        <w:tc>
          <w:tcPr>
            <w:tcW w:type="dxa" w:w="4939"/>
            <w:tcMar>
              <w:top w:w="145" w:type="dxa"/>
              <w:start w:w="160" w:type="dxa"/>
              <w:bottom w:w="145" w:type="dxa"/>
              <w:end w:w="160" w:type="dxa"/>
            </w:tcMar>
            <w:shd w:fill="E8F5F3"/>
          </w:tcPr>
          <w:p>
            <w:pPr>
              <w:spacing w:after="0" w:line="312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贴不稳时怎样处理</w:t>
              <w:br/>
              <w:t>残留是否正常、怎样清理</w:t>
              <w:br/>
              <w:t>修复体会不会变白</w:t>
              <w:br/>
              <w:t>多久一次、什么情况效果有限</w:t>
            </w:r>
          </w:p>
        </w:tc>
      </w:tr>
    </w:tbl>
    <w:p>
      <w:pPr>
        <w:widowControl/>
      </w:pPr>
      <w:r>
        <w:br w:type="page"/>
      </w:r>
    </w:p>
    <w:p>
      <w:pPr>
        <w:pStyle w:val="Eyebrow"/>
        <w:widowControl/>
      </w:pPr>
      <w:r>
        <w:rPr>
          <w:rFonts w:ascii="Noto Sans CJK SC" w:hAnsi="Noto Sans CJK SC" w:eastAsia="Noto Sans CJK SC"/>
          <w:b/>
          <w:color w:val="168B84"/>
          <w:sz w:val="17"/>
        </w:rPr>
        <w:t>04  ACTION PRIORITIES</w:t>
      </w:r>
    </w:p>
    <w:p>
      <w:pPr>
        <w:pStyle w:val="Heading1"/>
        <w:keepNext w:val="0"/>
        <w:widowControl/>
      </w:pPr>
      <w:r>
        <w:rPr>
          <w:rFonts w:ascii="Noto Sans CJK SC" w:hAnsi="Noto Sans CJK SC" w:eastAsia="Noto Sans CJK SC"/>
        </w:rPr>
        <w:t>P0—P3修改优先级</w:t>
      </w:r>
    </w:p>
    <w:p>
      <w:pPr>
        <w:pStyle w:val="PageIntro"/>
        <w:keepNext w:val="0"/>
        <w:widowControl/>
      </w:pPr>
      <w:r>
        <w:rPr>
          <w:rFonts w:ascii="Noto Sans CJK SC" w:hAnsi="Noto Sans CJK SC" w:eastAsia="Noto Sans CJK SC"/>
        </w:rPr>
        <w:t>优先级表示消费者理解和内部执行顺序，不代表法律或监管风险等级。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9993"/>
            <w:gridSpan w:val="3"/>
            <w:shd w:fill="FBE9E8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left w:val="single" w:sz="20" w:color="B84D45"/>
            </w:tcBorders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P0  上线或继续投放前确认</w:t>
            </w:r>
          </w:p>
        </w:tc>
      </w:tr>
      <w:tr>
        <w:tc>
          <w:tcPr>
            <w:tcW w:type="dxa" w:w="2088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/>
                <w:color w:val="222222"/>
                <w:sz w:val="19"/>
              </w:rPr>
              <w:t>统一修复体答案</w:t>
            </w:r>
          </w:p>
        </w:tc>
        <w:tc>
          <w:tcPr>
            <w:tcW w:type="dxa" w:w="5903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拆开“是否可以使用”与“是否能改变修复体颜色”；删除可能造成同步变白理解的模糊表达。</w:t>
            </w:r>
          </w:p>
        </w:tc>
        <w:tc>
          <w:tcPr>
            <w:tcW w:type="dxa" w:w="2015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产品／专业复核／内容</w:t>
            </w:r>
          </w:p>
        </w:tc>
      </w:tr>
    </w:tbl>
    <w:p>
      <w:pPr>
        <w:widowControl/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9993"/>
            <w:gridSpan w:val="3"/>
            <w:shd w:fill="FFF2E3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left w:val="single" w:sz="20" w:color="E4862A"/>
            </w:tcBorders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P1  建议本轮处理</w:t>
            </w:r>
          </w:p>
        </w:tc>
      </w:tr>
      <w:tr>
        <w:tc>
          <w:tcPr>
            <w:tcW w:type="dxa" w:w="2088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/>
                <w:color w:val="222222"/>
                <w:sz w:val="19"/>
              </w:rPr>
              <w:t>确认21次装频次上限</w:t>
            </w:r>
          </w:p>
        </w:tc>
        <w:tc>
          <w:tcPr>
            <w:tcW w:type="dxa" w:w="5903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把初始疗程、单日最大频次和维护频次写成一个SKU级版本。</w:t>
            </w:r>
          </w:p>
        </w:tc>
        <w:tc>
          <w:tcPr>
            <w:tcW w:type="dxa" w:w="2015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产品／内容</w:t>
            </w:r>
          </w:p>
        </w:tc>
      </w:tr>
      <w:tr>
        <w:tc>
          <w:tcPr>
            <w:tcW w:type="dxa" w:w="2088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/>
                <w:color w:val="222222"/>
                <w:sz w:val="19"/>
              </w:rPr>
              <w:t>补充贴合步骤</w:t>
            </w:r>
          </w:p>
        </w:tc>
        <w:tc>
          <w:tcPr>
            <w:tcW w:type="dxa" w:w="5903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增加牙面准备、对齐、按压和折叠等步骤，并与包装一致。</w:t>
            </w:r>
          </w:p>
        </w:tc>
        <w:tc>
          <w:tcPr>
            <w:tcW w:type="dxa" w:w="2015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产品／客服／内容</w:t>
            </w:r>
          </w:p>
        </w:tc>
      </w:tr>
      <w:tr>
        <w:tc>
          <w:tcPr>
            <w:tcW w:type="dxa" w:w="2088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/>
                <w:color w:val="222222"/>
                <w:sz w:val="19"/>
              </w:rPr>
              <w:t>把效果限制前移</w:t>
            </w:r>
          </w:p>
        </w:tc>
        <w:tc>
          <w:tcPr>
            <w:tcW w:type="dxa" w:w="5903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在效果主张附近说明主要针对表面着色，深层着色和修复体结果可能不同。</w:t>
            </w:r>
          </w:p>
        </w:tc>
        <w:tc>
          <w:tcPr>
            <w:tcW w:type="dxa" w:w="2015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内容／专业复核</w:t>
            </w:r>
          </w:p>
        </w:tc>
      </w:tr>
    </w:tbl>
    <w:p>
      <w:pPr>
        <w:widowControl/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9993"/>
            <w:gridSpan w:val="3"/>
            <w:shd w:fill="E8F5F3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left w:val="single" w:sz="20" w:color="168B84"/>
            </w:tcBorders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P2  后续优化</w:t>
            </w:r>
          </w:p>
        </w:tc>
      </w:tr>
      <w:tr>
        <w:tc>
          <w:tcPr>
            <w:tcW w:type="dxa" w:w="2088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/>
                <w:color w:val="222222"/>
                <w:sz w:val="19"/>
              </w:rPr>
              <w:t>显化残留处理</w:t>
            </w:r>
          </w:p>
        </w:tc>
        <w:tc>
          <w:tcPr>
            <w:tcW w:type="dxa" w:w="5903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把可能出现残留及清理方式移到使用步骤附近。</w:t>
            </w:r>
          </w:p>
        </w:tc>
        <w:tc>
          <w:tcPr>
            <w:tcW w:type="dxa" w:w="2015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内容／客服</w:t>
            </w:r>
          </w:p>
        </w:tc>
      </w:tr>
      <w:tr>
        <w:tc>
          <w:tcPr>
            <w:tcW w:type="dxa" w:w="2088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/>
                <w:color w:val="222222"/>
                <w:sz w:val="19"/>
              </w:rPr>
              <w:t>统一持续时间</w:t>
            </w:r>
          </w:p>
        </w:tc>
        <w:tc>
          <w:tcPr>
            <w:tcW w:type="dxa" w:w="5903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明确持续时间、维护计划和生活习惯之间的关系。</w:t>
            </w:r>
          </w:p>
        </w:tc>
        <w:tc>
          <w:tcPr>
            <w:tcW w:type="dxa" w:w="2015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产品／内容</w:t>
            </w:r>
          </w:p>
        </w:tc>
      </w:tr>
    </w:tbl>
    <w:p>
      <w:pPr>
        <w:widowControl/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9993"/>
            <w:gridSpan w:val="3"/>
            <w:shd w:fill="F1EEF8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left w:val="single" w:sz="20" w:color="27204F"/>
            </w:tcBorders>
          </w:tcPr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P3  建立发布前检查机制</w:t>
            </w:r>
          </w:p>
        </w:tc>
      </w:tr>
      <w:tr>
        <w:tc>
          <w:tcPr>
            <w:tcW w:type="dxa" w:w="2088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/>
                <w:color w:val="222222"/>
                <w:sz w:val="19"/>
              </w:rPr>
              <w:t>建立渠道字段表</w:t>
            </w:r>
          </w:p>
        </w:tc>
        <w:tc>
          <w:tcPr>
            <w:tcW w:type="dxa" w:w="5903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把配方、数量、时长、频次、适用边界和证据来源纳入发布前检查表。</w:t>
            </w:r>
          </w:p>
        </w:tc>
        <w:tc>
          <w:tcPr>
            <w:tcW w:type="dxa" w:w="2015"/>
            <w:tcMar>
              <w:top w:w="115" w:type="dxa"/>
              <w:start w:w="130" w:type="dxa"/>
              <w:bottom w:w="115" w:type="dxa"/>
              <w:end w:w="130" w:type="dxa"/>
            </w:tcMar>
            <w:shd w:fill="FFFFFF"/>
            <w:tcBorders>
              <w:bottom w:val="single" w:sz="3" w:color="D9D9E2"/>
            </w:tcBorders>
          </w:tcPr>
          <w:p>
            <w:pPr>
              <w:spacing w:after="0" w:line="283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运营／内容</w:t>
            </w:r>
          </w:p>
        </w:tc>
      </w:tr>
    </w:tbl>
    <w:p>
      <w:pPr>
        <w:widowControl/>
        <w:spacing w:after="100"/>
      </w:pPr>
    </w:p>
    <w:p>
      <w:pPr>
        <w:pStyle w:val="Eyebrow"/>
        <w:widowControl/>
      </w:pPr>
      <w:r>
        <w:rPr>
          <w:rFonts w:ascii="Noto Sans CJK SC" w:hAnsi="Noto Sans CJK SC" w:eastAsia="Noto Sans CJK SC"/>
          <w:b/>
          <w:color w:val="168B84"/>
          <w:sz w:val="17"/>
        </w:rPr>
        <w:t>05  REVISION EXAMPLES</w:t>
      </w:r>
    </w:p>
    <w:p>
      <w:pPr>
        <w:pStyle w:val="Heading1"/>
        <w:keepNext w:val="0"/>
        <w:widowControl/>
      </w:pPr>
      <w:r>
        <w:rPr>
          <w:rFonts w:ascii="Noto Sans CJK SC" w:hAnsi="Noto Sans CJK SC" w:eastAsia="Noto Sans CJK SC"/>
        </w:rPr>
        <w:t>修改示例</w:t>
      </w:r>
    </w:p>
    <w:p>
      <w:pPr>
        <w:pStyle w:val="PageIntro"/>
        <w:keepNext w:val="0"/>
        <w:widowControl/>
      </w:pPr>
      <w:r>
        <w:rPr>
          <w:rFonts w:ascii="Noto Sans CJK SC" w:hAnsi="Noto Sans CJK SC" w:eastAsia="Noto Sans CJK SC"/>
        </w:rPr>
        <w:t>以下示例只展示信息结构，不替代品牌的产品事实确认、专业复核或最终英文文案。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10008"/>
            <w:shd w:fill="FBE9E8"/>
            <w:tcMar>
              <w:top w:w="160" w:type="dxa"/>
              <w:start w:w="190" w:type="dxa"/>
              <w:bottom w:w="160" w:type="dxa"/>
              <w:end w:w="190" w:type="dxa"/>
            </w:tcMar>
            <w:tcBorders>
              <w:left w:val="single" w:sz="22" w:color="B84D45"/>
              <w:top w:val="single" w:sz="3" w:color="D9D9E2"/>
              <w:bottom w:val="single" w:sz="3" w:color="D9D9E2"/>
              <w:right w:val="single" w:sz="3" w:color="D9D9E2"/>
            </w:tcBorders>
          </w:tcPr>
          <w:p>
            <w:pPr>
              <w:spacing w:after="14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01  修复体FAQ</w:t>
            </w:r>
          </w:p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66666E"/>
                <w:sz w:val="19"/>
              </w:rPr>
              <w:t>需要解决的问题：</w:t>
            </w:r>
            <w:r>
              <w:rPr>
                <w:rFonts w:ascii="Noto Sans CJK SC" w:hAnsi="Noto Sans CJK SC" w:eastAsia="Noto Sans CJK SC"/>
                <w:color w:val="222222"/>
                <w:sz w:val="20"/>
              </w:rPr>
              <w:t>“可以使用”容易被理解为“修复体也会同步变白”。</w:t>
            </w:r>
          </w:p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66666E"/>
                <w:sz w:val="19"/>
              </w:rPr>
              <w:t>建议的信息结构：</w:t>
            </w:r>
            <w:r>
              <w:rPr>
                <w:rFonts w:ascii="Noto Sans CJK SC" w:hAnsi="Noto Sans CJK SC" w:eastAsia="Noto Sans CJK SC"/>
                <w:color w:val="222222"/>
                <w:sz w:val="20"/>
              </w:rPr>
              <w:t>产品主要改善天然牙表面着色。牙冠、贴面、补牙和粘接材料可能不会同步改变色泽；有可见修复体时，使用前请咨询牙科专业人员。</w:t>
            </w:r>
          </w:p>
        </w:tc>
      </w:tr>
    </w:tbl>
    <w:p>
      <w:pPr>
        <w:widowControl/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10008"/>
            <w:shd w:fill="FFF2E3"/>
            <w:tcMar>
              <w:top w:w="160" w:type="dxa"/>
              <w:start w:w="190" w:type="dxa"/>
              <w:bottom w:w="160" w:type="dxa"/>
              <w:end w:w="190" w:type="dxa"/>
            </w:tcMar>
            <w:tcBorders>
              <w:left w:val="single" w:sz="22" w:color="E4862A"/>
              <w:top w:val="single" w:sz="3" w:color="D9D9E2"/>
              <w:bottom w:val="single" w:sz="3" w:color="D9D9E2"/>
              <w:right w:val="single" w:sz="3" w:color="D9D9E2"/>
            </w:tcBorders>
          </w:tcPr>
          <w:p>
            <w:pPr>
              <w:spacing w:after="14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02  使用频次</w:t>
            </w:r>
          </w:p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66666E"/>
                <w:sz w:val="19"/>
              </w:rPr>
              <w:t>需要解决的问题：</w:t>
            </w:r>
            <w:r>
              <w:rPr>
                <w:rFonts w:ascii="Noto Sans CJK SC" w:hAnsi="Noto Sans CJK SC" w:eastAsia="Noto Sans CJK SC"/>
                <w:color w:val="222222"/>
                <w:sz w:val="20"/>
              </w:rPr>
              <w:t>初始疗程、单日上限和维护频次分散在不同页面。</w:t>
            </w:r>
          </w:p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66666E"/>
                <w:sz w:val="19"/>
              </w:rPr>
              <w:t>建议的信息结构：</w:t>
            </w:r>
            <w:r>
              <w:rPr>
                <w:rFonts w:ascii="Noto Sans CJK SC" w:hAnsi="Noto Sans CJK SC" w:eastAsia="Noto Sans CJK SC"/>
                <w:color w:val="222222"/>
                <w:sz w:val="20"/>
              </w:rPr>
              <w:t>佩戴30分钟 → 连续7天初始疗程 → 每周1—2次维护。若包装允许其他频次，应明确单日上限，并同步所有渠道。</w:t>
            </w:r>
          </w:p>
        </w:tc>
      </w:tr>
    </w:tbl>
    <w:p>
      <w:pPr>
        <w:widowControl/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10008"/>
            <w:shd w:fill="E8F5F3"/>
            <w:tcMar>
              <w:top w:w="160" w:type="dxa"/>
              <w:start w:w="190" w:type="dxa"/>
              <w:bottom w:w="160" w:type="dxa"/>
              <w:end w:w="190" w:type="dxa"/>
            </w:tcMar>
            <w:tcBorders>
              <w:left w:val="single" w:sz="22" w:color="168B84"/>
              <w:top w:val="single" w:sz="3" w:color="D9D9E2"/>
              <w:bottom w:val="single" w:sz="3" w:color="D9D9E2"/>
              <w:right w:val="single" w:sz="3" w:color="D9D9E2"/>
            </w:tcBorders>
          </w:tcPr>
          <w:p>
            <w:pPr>
              <w:spacing w:after="14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03  贴合FAQ</w:t>
            </w:r>
          </w:p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66666E"/>
                <w:sz w:val="19"/>
              </w:rPr>
              <w:t>需要解决的问题：</w:t>
            </w:r>
            <w:r>
              <w:rPr>
                <w:rFonts w:ascii="Noto Sans CJK SC" w:hAnsi="Noto Sans CJK SC" w:eastAsia="Noto Sans CJK SC"/>
                <w:color w:val="222222"/>
                <w:sz w:val="20"/>
              </w:rPr>
              <w:t>公开反馈出现贴不稳，但页面缺少独立操作步骤。</w:t>
            </w:r>
          </w:p>
          <w:p>
            <w:pPr>
              <w:spacing w:after="0"/>
            </w:pPr>
            <w:r>
              <w:rPr>
                <w:rFonts w:ascii="Noto Sans CJK SC" w:hAnsi="Noto Sans CJK SC" w:eastAsia="Noto Sans CJK SC"/>
                <w:b/>
                <w:color w:val="66666E"/>
                <w:sz w:val="19"/>
              </w:rPr>
              <w:t>建议的信息结构：</w:t>
            </w:r>
            <w:r>
              <w:rPr>
                <w:rFonts w:ascii="Noto Sans CJK SC" w:hAnsi="Noto Sans CJK SC" w:eastAsia="Noto Sans CJK SC"/>
                <w:color w:val="222222"/>
                <w:sz w:val="20"/>
              </w:rPr>
              <w:t>保持牙齿正面相对干燥；从门牙开始对齐，向两侧按压，将多余部分折到背面。若持续滑动，不要自行延长佩戴时间。</w:t>
            </w:r>
          </w:p>
        </w:tc>
      </w:tr>
    </w:tbl>
    <w:p>
      <w:pPr>
        <w:widowControl/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10008"/>
            <w:shd w:fill="F1EEF8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left w:val="single" w:sz="18" w:color="27204F"/>
              <w:top w:val="nil"/>
              <w:bottom w:val="nil"/>
              <w:right w:val="nil"/>
            </w:tcBorders>
          </w:tcPr>
          <w:p>
            <w:pPr>
              <w:spacing w:after="0" w:line="300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正式付费项目只提供2—3处示例，用于证明建议如何落地；完整产品页、完整FAQ或整站重写不包含在基础核查范围内。</w:t>
            </w:r>
          </w:p>
        </w:tc>
      </w:tr>
    </w:tbl>
    <w:p>
      <w:pPr>
        <w:widowControl/>
        <w:spacing w:after="140"/>
      </w:pPr>
    </w:p>
    <w:p>
      <w:pPr>
        <w:widowControl/>
      </w:pPr>
      <w:r>
        <w:br w:type="page"/>
      </w:r>
    </w:p>
    <w:p>
      <w:pPr>
        <w:pStyle w:val="Eyebrow"/>
        <w:widowControl/>
      </w:pPr>
      <w:r>
        <w:rPr>
          <w:rFonts w:ascii="Noto Sans CJK SC" w:hAnsi="Noto Sans CJK SC" w:eastAsia="Noto Sans CJK SC"/>
          <w:b/>
          <w:color w:val="168B84"/>
          <w:sz w:val="17"/>
        </w:rPr>
        <w:t>06  EVIDENCE &amp; BOUNDARIES</w:t>
      </w:r>
    </w:p>
    <w:p>
      <w:pPr>
        <w:pStyle w:val="Heading1"/>
        <w:keepNext w:val="0"/>
        <w:widowControl/>
      </w:pPr>
      <w:r>
        <w:rPr>
          <w:rFonts w:ascii="Noto Sans CJK SC" w:hAnsi="Noto Sans CJK SC" w:eastAsia="Noto Sans CJK SC"/>
        </w:rPr>
        <w:t>证据记录与待确认事项</w:t>
      </w:r>
    </w:p>
    <w:p>
      <w:pPr>
        <w:pStyle w:val="PageIntro"/>
        <w:keepNext w:val="0"/>
        <w:widowControl/>
      </w:pPr>
      <w:r>
        <w:rPr>
          <w:rFonts w:ascii="Noto Sans CJK SC" w:hAnsi="Noto Sans CJK SC" w:eastAsia="Noto Sans CJK SC"/>
        </w:rPr>
        <w:t>正式项目需要把公开页面、客户内部产品事实和专业复核意见分开记录，避免把页面差异直接判断为产品错误。</w:t>
      </w:r>
    </w:p>
    <w:p>
      <w:pPr>
        <w:pStyle w:val="Heading2"/>
        <w:keepNext w:val="0"/>
        <w:widowControl/>
      </w:pPr>
      <w:r>
        <w:rPr>
          <w:rFonts w:ascii="Noto Sans CJK SC" w:hAnsi="Noto Sans CJK SC" w:eastAsia="Noto Sans CJK SC"/>
        </w:rPr>
        <w:t>客户启动项目时需要确认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35"/>
            <w:tcMar>
              <w:top w:w="90" w:type="dxa"/>
              <w:start w:w="80" w:type="dxa"/>
              <w:bottom w:w="90" w:type="dxa"/>
              <w:end w:w="80" w:type="dxa"/>
            </w:tcMar>
            <w:tcBorders>
              <w:bottom w:val="single" w:sz="3" w:color="D9D9E2"/>
            </w:tcBorders>
            <w:shd w:fill="F1EEF8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7204F"/>
                <w:sz w:val="18"/>
              </w:rPr>
              <w:t>01</w:t>
            </w:r>
          </w:p>
        </w:tc>
        <w:tc>
          <w:tcPr>
            <w:tcW w:type="dxa" w:w="8956"/>
            <w:tcMar>
              <w:top w:w="90" w:type="dxa"/>
              <w:start w:w="80" w:type="dxa"/>
              <w:bottom w:w="90" w:type="dxa"/>
              <w:end w:w="80" w:type="dxa"/>
            </w:tcMar>
            <w:tcBorders>
              <w:bottom w:val="single" w:sz="3" w:color="D9D9E2"/>
            </w:tcBorders>
            <w:shd w:fill="FFFFFF"/>
          </w:tcPr>
          <w:p>
            <w:pPr>
              <w:spacing w:after="0" w:line="307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21次装的当前包装版本、配方版本和美国市场销售版本是否完全一致；</w:t>
            </w:r>
          </w:p>
        </w:tc>
      </w:tr>
      <w:tr>
        <w:tc>
          <w:tcPr>
            <w:tcW w:type="dxa" w:w="835"/>
            <w:tcMar>
              <w:top w:w="90" w:type="dxa"/>
              <w:start w:w="80" w:type="dxa"/>
              <w:bottom w:w="90" w:type="dxa"/>
              <w:end w:w="80" w:type="dxa"/>
            </w:tcMar>
            <w:tcBorders>
              <w:bottom w:val="single" w:sz="3" w:color="D9D9E2"/>
            </w:tcBorders>
            <w:shd w:fill="F1EEF8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7204F"/>
                <w:sz w:val="18"/>
              </w:rPr>
              <w:t>02</w:t>
            </w:r>
          </w:p>
        </w:tc>
        <w:tc>
          <w:tcPr>
            <w:tcW w:type="dxa" w:w="8956"/>
            <w:tcMar>
              <w:top w:w="90" w:type="dxa"/>
              <w:start w:w="80" w:type="dxa"/>
              <w:bottom w:w="90" w:type="dxa"/>
              <w:end w:w="80" w:type="dxa"/>
            </w:tcMar>
            <w:tcBorders>
              <w:bottom w:val="single" w:sz="3" w:color="D9D9E2"/>
            </w:tcBorders>
            <w:shd w:fill="FFFFFF"/>
          </w:tcPr>
          <w:p>
            <w:pPr>
              <w:spacing w:after="0" w:line="307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初始疗程、单日最大使用频次和维护方案；</w:t>
            </w:r>
          </w:p>
        </w:tc>
      </w:tr>
      <w:tr>
        <w:tc>
          <w:tcPr>
            <w:tcW w:type="dxa" w:w="835"/>
            <w:tcMar>
              <w:top w:w="90" w:type="dxa"/>
              <w:start w:w="80" w:type="dxa"/>
              <w:bottom w:w="90" w:type="dxa"/>
              <w:end w:w="80" w:type="dxa"/>
            </w:tcMar>
            <w:tcBorders>
              <w:bottom w:val="single" w:sz="3" w:color="D9D9E2"/>
            </w:tcBorders>
            <w:shd w:fill="F1EEF8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7204F"/>
                <w:sz w:val="18"/>
              </w:rPr>
              <w:t>03</w:t>
            </w:r>
          </w:p>
        </w:tc>
        <w:tc>
          <w:tcPr>
            <w:tcW w:type="dxa" w:w="8956"/>
            <w:tcMar>
              <w:top w:w="90" w:type="dxa"/>
              <w:start w:w="80" w:type="dxa"/>
              <w:bottom w:w="90" w:type="dxa"/>
              <w:end w:w="80" w:type="dxa"/>
            </w:tcMar>
            <w:tcBorders>
              <w:bottom w:val="single" w:sz="3" w:color="D9D9E2"/>
            </w:tcBorders>
            <w:shd w:fill="FFFFFF"/>
          </w:tcPr>
          <w:p>
            <w:pPr>
              <w:spacing w:after="0" w:line="307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牙冠、贴面、补牙和粘接材料相关表述的内部依据；</w:t>
            </w:r>
          </w:p>
        </w:tc>
      </w:tr>
      <w:tr>
        <w:tc>
          <w:tcPr>
            <w:tcW w:type="dxa" w:w="835"/>
            <w:tcMar>
              <w:top w:w="90" w:type="dxa"/>
              <w:start w:w="80" w:type="dxa"/>
              <w:bottom w:w="90" w:type="dxa"/>
              <w:end w:w="80" w:type="dxa"/>
            </w:tcMar>
            <w:tcBorders>
              <w:bottom w:val="single" w:sz="3" w:color="D9D9E2"/>
            </w:tcBorders>
            <w:shd w:fill="F1EEF8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7204F"/>
                <w:sz w:val="18"/>
              </w:rPr>
              <w:t>04</w:t>
            </w:r>
          </w:p>
        </w:tc>
        <w:tc>
          <w:tcPr>
            <w:tcW w:type="dxa" w:w="8956"/>
            <w:tcMar>
              <w:top w:w="90" w:type="dxa"/>
              <w:start w:w="80" w:type="dxa"/>
              <w:bottom w:w="90" w:type="dxa"/>
              <w:end w:w="80" w:type="dxa"/>
            </w:tcMar>
            <w:tcBorders>
              <w:bottom w:val="single" w:sz="3" w:color="D9D9E2"/>
            </w:tcBorders>
            <w:shd w:fill="FFFFFF"/>
          </w:tcPr>
          <w:p>
            <w:pPr>
              <w:spacing w:after="0" w:line="307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“珐琅质安全”“适合敏感牙”“临床验证”等表达对应的证据和适用范围；</w:t>
            </w:r>
          </w:p>
        </w:tc>
      </w:tr>
      <w:tr>
        <w:tc>
          <w:tcPr>
            <w:tcW w:type="dxa" w:w="835"/>
            <w:tcMar>
              <w:top w:w="90" w:type="dxa"/>
              <w:start w:w="80" w:type="dxa"/>
              <w:bottom w:w="90" w:type="dxa"/>
              <w:end w:w="80" w:type="dxa"/>
            </w:tcMar>
            <w:tcBorders>
              <w:bottom w:val="single" w:sz="3" w:color="D9D9E2"/>
            </w:tcBorders>
            <w:shd w:fill="F1EEF8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7204F"/>
                <w:sz w:val="18"/>
              </w:rPr>
              <w:t>05</w:t>
            </w:r>
          </w:p>
        </w:tc>
        <w:tc>
          <w:tcPr>
            <w:tcW w:type="dxa" w:w="8956"/>
            <w:tcMar>
              <w:top w:w="90" w:type="dxa"/>
              <w:start w:w="80" w:type="dxa"/>
              <w:bottom w:w="90" w:type="dxa"/>
              <w:end w:w="80" w:type="dxa"/>
            </w:tcMar>
            <w:tcBorders>
              <w:bottom w:val="single" w:sz="3" w:color="D9D9E2"/>
            </w:tcBorders>
            <w:shd w:fill="FFFFFF"/>
          </w:tcPr>
          <w:p>
            <w:pPr>
              <w:spacing w:after="0" w:line="307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零售渠道由谁维护，以及页面更新后怎样同步。</w:t>
            </w:r>
          </w:p>
        </w:tc>
      </w:tr>
    </w:tbl>
    <w:p>
      <w:pPr>
        <w:pStyle w:val="Heading2"/>
        <w:keepNext w:val="0"/>
        <w:widowControl/>
        <w:spacing w:before="120"/>
      </w:pPr>
      <w:r>
        <w:rPr>
          <w:rFonts w:ascii="Noto Sans CJK SC" w:hAnsi="Noto Sans CJK SC" w:eastAsia="Noto Sans CJK SC"/>
        </w:rPr>
        <w:t>主要公开来源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144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27204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来源类型</w:t>
            </w:r>
          </w:p>
        </w:tc>
        <w:tc>
          <w:tcPr>
            <w:tcW w:type="dxa" w:w="3816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27204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页面</w:t>
            </w:r>
          </w:p>
        </w:tc>
        <w:tc>
          <w:tcPr>
            <w:tcW w:type="dxa" w:w="475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27204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网址</w:t>
            </w:r>
          </w:p>
        </w:tc>
      </w:tr>
      <w:tr>
        <w:tc>
          <w:tcPr>
            <w:tcW w:type="dxa" w:w="144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品牌产品页</w:t>
            </w:r>
          </w:p>
        </w:tc>
        <w:tc>
          <w:tcPr>
            <w:tcW w:type="dxa" w:w="3816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Super Pack Whitening Strips（21 Treatments）</w:t>
            </w:r>
          </w:p>
        </w:tc>
        <w:tc>
          <w:tcPr>
            <w:tcW w:type="dxa" w:w="475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lumineuxhealth.com/products/super-pack-whitening-strips-21-treatments</w:t>
            </w:r>
          </w:p>
        </w:tc>
      </w:tr>
      <w:tr>
        <w:tc>
          <w:tcPr>
            <w:tcW w:type="dxa" w:w="144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品牌帮助中心</w:t>
            </w:r>
          </w:p>
        </w:tc>
        <w:tc>
          <w:tcPr>
            <w:tcW w:type="dxa" w:w="3816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Lumineux FAQ / Whitening Strips</w:t>
            </w:r>
          </w:p>
        </w:tc>
        <w:tc>
          <w:tcPr>
            <w:tcW w:type="dxa" w:w="475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lumineuxhealth.com/pages/faq</w:t>
            </w:r>
          </w:p>
        </w:tc>
      </w:tr>
      <w:tr>
        <w:tc>
          <w:tcPr>
            <w:tcW w:type="dxa" w:w="144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品牌教育内容</w:t>
            </w:r>
          </w:p>
        </w:tc>
        <w:tc>
          <w:tcPr>
            <w:tcW w:type="dxa" w:w="3816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Do Teeth Whitening Strips Really Work?</w:t>
            </w:r>
          </w:p>
        </w:tc>
        <w:tc>
          <w:tcPr>
            <w:tcW w:type="dxa" w:w="475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lumineuxhealth.com/blogs/oral-care/do-teeth-whitening-strips-really-work</w:t>
            </w:r>
          </w:p>
        </w:tc>
      </w:tr>
      <w:tr>
        <w:tc>
          <w:tcPr>
            <w:tcW w:type="dxa" w:w="144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Target</w:t>
            </w:r>
          </w:p>
        </w:tc>
        <w:tc>
          <w:tcPr>
            <w:tcW w:type="dxa" w:w="3816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Lumineux Tooth Whitening Strips - 14pk</w:t>
            </w:r>
          </w:p>
        </w:tc>
        <w:tc>
          <w:tcPr>
            <w:tcW w:type="dxa" w:w="475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5F5F7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target.com/p/-/A-82842347</w:t>
            </w:r>
          </w:p>
        </w:tc>
      </w:tr>
      <w:tr>
        <w:tc>
          <w:tcPr>
            <w:tcW w:type="dxa" w:w="1440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Walmart</w:t>
            </w:r>
          </w:p>
        </w:tc>
        <w:tc>
          <w:tcPr>
            <w:tcW w:type="dxa" w:w="3816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Lumineux Teeth Whitening Strips - 14-Pack</w:t>
            </w:r>
          </w:p>
        </w:tc>
        <w:tc>
          <w:tcPr>
            <w:tcW w:type="dxa" w:w="4752"/>
            <w:tcMar>
              <w:top w:w="115" w:type="dxa"/>
              <w:start w:w="120" w:type="dxa"/>
              <w:bottom w:w="115" w:type="dxa"/>
              <w:end w:w="120" w:type="dxa"/>
            </w:tcMar>
            <w:vAlign w:val="center"/>
            <w:tcBorders>
              <w:bottom w:val="single" w:sz="4" w:color="D9D9E2"/>
            </w:tcBorders>
            <w:shd w:fill="FFFFFF"/>
          </w:tcPr>
          <w:p>
            <w:pPr>
              <w:spacing w:after="0" w:line="278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walmart.com/ip/762092270</w:t>
            </w:r>
          </w:p>
        </w:tc>
      </w:tr>
    </w:tbl>
    <w:p>
      <w:pPr>
        <w:widowControl/>
      </w:pPr>
      <w:r>
        <w:br w:type="page"/>
      </w:r>
    </w:p>
    <w:p>
      <w:pPr>
        <w:pStyle w:val="Eyebrow"/>
        <w:widowControl/>
      </w:pPr>
      <w:r>
        <w:rPr>
          <w:rFonts w:ascii="Noto Sans CJK SC" w:hAnsi="Noto Sans CJK SC" w:eastAsia="Noto Sans CJK SC"/>
          <w:b/>
          <w:color w:val="168B84"/>
          <w:sz w:val="17"/>
        </w:rPr>
        <w:t>07  DELIVERY BOUNDARIES</w:t>
      </w:r>
    </w:p>
    <w:p>
      <w:pPr>
        <w:pStyle w:val="Heading1"/>
        <w:keepNext w:val="0"/>
        <w:widowControl/>
      </w:pPr>
      <w:r>
        <w:rPr>
          <w:rFonts w:ascii="Noto Sans CJK SC" w:hAnsi="Noto Sans CJK SC" w:eastAsia="Noto Sans CJK SC"/>
        </w:rPr>
        <w:t>交付边界与使用方式</w:t>
      </w:r>
    </w:p>
    <w:p>
      <w:pPr>
        <w:pStyle w:val="PageIntro"/>
        <w:keepNext w:val="0"/>
        <w:widowControl/>
      </w:pPr>
      <w:r>
        <w:rPr>
          <w:rFonts w:ascii="Noto Sans CJK SC" w:hAnsi="Noto Sans CJK SC" w:eastAsia="Noto Sans CJK SC"/>
        </w:rPr>
        <w:t>这一页说明样板能支持什么决策，以及哪些结论必须由客户内部或专业人员完成。</w:t>
      </w:r>
    </w:p>
    <w:p>
      <w:pPr>
        <w:pStyle w:val="Heading2"/>
        <w:keepNext w:val="0"/>
        <w:widowControl/>
      </w:pPr>
      <w:r>
        <w:rPr>
          <w:rFonts w:ascii="Noto Sans CJK SC" w:hAnsi="Noto Sans CJK SC" w:eastAsia="Noto Sans CJK SC"/>
        </w:rPr>
        <w:t>本样板展示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E8F5F3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可以支持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把产品事实、渠道表达、公开反馈和修改优先级放到同一套证据结构中。</w:t>
            </w:r>
          </w:p>
        </w:tc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1EEF8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需要客户确认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当前SKU版本、配方、包装、使用规则，以及页面背后的内部依据。</w:t>
            </w:r>
          </w:p>
        </w:tc>
        <w:tc>
          <w:tcPr>
            <w:tcW w:type="dxa" w:w="3220"/>
            <w:tcMar>
              <w:top w:w="150" w:type="dxa"/>
              <w:start w:w="160" w:type="dxa"/>
              <w:bottom w:w="145" w:type="dxa"/>
              <w:end w:w="160" w:type="dxa"/>
            </w:tcMar>
            <w:tcBorders>
              <w:top w:val="single" w:sz="3" w:color="D9D9E2"/>
              <w:bottom w:val="single" w:sz="3" w:color="D9D9E2"/>
              <w:left w:val="single" w:sz="3" w:color="D9D9E2"/>
              <w:right w:val="single" w:sz="3" w:color="D9D9E2"/>
            </w:tcBorders>
            <w:shd w:fill="FFF2E3"/>
          </w:tcPr>
          <w:p>
            <w:pPr>
              <w:pStyle w:val="CardTitle"/>
              <w:spacing w:after="120"/>
            </w:pPr>
            <w:r>
              <w:rPr>
                <w:rFonts w:ascii="Noto Sans CJK SC" w:hAnsi="Noto Sans CJK SC" w:eastAsia="Noto Sans CJK SC"/>
                <w:b/>
                <w:color w:val="27204F"/>
                <w:sz w:val="22"/>
              </w:rPr>
              <w:t>需要专业复核</w:t>
            </w:r>
          </w:p>
          <w:p>
            <w:pPr>
              <w:pStyle w:val="CardBody"/>
              <w:spacing w:after="0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涉及安全、临床效果、广告合规和监管状态的最终判断。</w:t>
            </w:r>
          </w:p>
        </w:tc>
      </w:tr>
    </w:tbl>
    <w:p>
      <w:pPr>
        <w:widowControl/>
        <w:spacing w:after="140"/>
      </w:pPr>
    </w:p>
    <w:p>
      <w:pPr>
        <w:pStyle w:val="Heading2"/>
        <w:keepNext w:val="0"/>
        <w:widowControl/>
        <w:spacing w:before="360"/>
      </w:pPr>
      <w:r>
        <w:rPr>
          <w:rFonts w:ascii="Noto Sans CJK SC" w:hAnsi="Noto Sans CJK SC" w:eastAsia="Noto Sans CJK SC"/>
        </w:rPr>
        <w:t>正式项目如何使用这份结构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2"/>
            <w:tcMar>
              <w:top w:w="105" w:type="dxa"/>
              <w:start w:w="85" w:type="dxa"/>
              <w:bottom w:w="105" w:type="dxa"/>
              <w:end w:w="85" w:type="dxa"/>
            </w:tcMar>
            <w:tcBorders>
              <w:bottom w:val="single" w:sz="3" w:color="D9D9E2"/>
            </w:tcBorders>
            <w:shd w:fill="F1EEF8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7204F"/>
                <w:sz w:val="19"/>
              </w:rPr>
              <w:t>01</w:t>
            </w:r>
          </w:p>
        </w:tc>
        <w:tc>
          <w:tcPr>
            <w:tcW w:type="dxa" w:w="8899"/>
            <w:tcMar>
              <w:top w:w="105" w:type="dxa"/>
              <w:start w:w="85" w:type="dxa"/>
              <w:bottom w:w="105" w:type="dxa"/>
              <w:end w:w="85" w:type="dxa"/>
            </w:tcMar>
            <w:tcBorders>
              <w:bottom w:val="single" w:sz="3" w:color="D9D9E2"/>
            </w:tcBorders>
            <w:shd w:fill="FFFFFF"/>
          </w:tcPr>
          <w:p>
            <w:pPr>
              <w:spacing w:after="0" w:line="307" w:lineRule="auto"/>
            </w:pPr>
            <w:r>
              <w:rPr>
                <w:rFonts w:ascii="Noto Sans CJK SC" w:hAnsi="Noto Sans CJK SC" w:eastAsia="Noto Sans CJK SC"/>
                <w:color w:val="222222"/>
                <w:sz w:val="21"/>
              </w:rPr>
              <w:t>客户确认一个SKU、一个市场和页面范围。</w:t>
            </w:r>
          </w:p>
        </w:tc>
      </w:tr>
      <w:tr>
        <w:tc>
          <w:tcPr>
            <w:tcW w:type="dxa" w:w="892"/>
            <w:tcMar>
              <w:top w:w="105" w:type="dxa"/>
              <w:start w:w="85" w:type="dxa"/>
              <w:bottom w:w="105" w:type="dxa"/>
              <w:end w:w="85" w:type="dxa"/>
            </w:tcMar>
            <w:tcBorders>
              <w:bottom w:val="single" w:sz="3" w:color="D9D9E2"/>
            </w:tcBorders>
            <w:shd w:fill="F1EEF8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7204F"/>
                <w:sz w:val="19"/>
              </w:rPr>
              <w:t>02</w:t>
            </w:r>
          </w:p>
        </w:tc>
        <w:tc>
          <w:tcPr>
            <w:tcW w:type="dxa" w:w="8899"/>
            <w:tcMar>
              <w:top w:w="105" w:type="dxa"/>
              <w:start w:w="85" w:type="dxa"/>
              <w:bottom w:w="105" w:type="dxa"/>
              <w:end w:w="85" w:type="dxa"/>
            </w:tcMar>
            <w:tcBorders>
              <w:bottom w:val="single" w:sz="3" w:color="D9D9E2"/>
            </w:tcBorders>
            <w:shd w:fill="FFFFFF"/>
          </w:tcPr>
          <w:p>
            <w:pPr>
              <w:spacing w:after="0" w:line="307" w:lineRule="auto"/>
            </w:pPr>
            <w:r>
              <w:rPr>
                <w:rFonts w:ascii="Noto Sans CJK SC" w:hAnsi="Noto Sans CJK SC" w:eastAsia="Noto Sans CJK SC"/>
                <w:color w:val="222222"/>
                <w:sz w:val="21"/>
              </w:rPr>
              <w:t>核查公开页面、消费者反馈与客户提供的产品事实。</w:t>
            </w:r>
          </w:p>
        </w:tc>
      </w:tr>
      <w:tr>
        <w:tc>
          <w:tcPr>
            <w:tcW w:type="dxa" w:w="892"/>
            <w:tcMar>
              <w:top w:w="105" w:type="dxa"/>
              <w:start w:w="85" w:type="dxa"/>
              <w:bottom w:w="105" w:type="dxa"/>
              <w:end w:w="85" w:type="dxa"/>
            </w:tcMar>
            <w:tcBorders>
              <w:bottom w:val="single" w:sz="3" w:color="D9D9E2"/>
            </w:tcBorders>
            <w:shd w:fill="F1EEF8"/>
          </w:tcPr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/>
                <w:b/>
                <w:color w:val="27204F"/>
                <w:sz w:val="19"/>
              </w:rPr>
              <w:t>03</w:t>
            </w:r>
          </w:p>
        </w:tc>
        <w:tc>
          <w:tcPr>
            <w:tcW w:type="dxa" w:w="8899"/>
            <w:tcMar>
              <w:top w:w="105" w:type="dxa"/>
              <w:start w:w="85" w:type="dxa"/>
              <w:bottom w:w="105" w:type="dxa"/>
              <w:end w:w="85" w:type="dxa"/>
            </w:tcMar>
            <w:tcBorders>
              <w:bottom w:val="single" w:sz="3" w:color="D9D9E2"/>
            </w:tcBorders>
            <w:shd w:fill="FFFFFF"/>
          </w:tcPr>
          <w:p>
            <w:pPr>
              <w:spacing w:after="0" w:line="307" w:lineRule="auto"/>
            </w:pPr>
            <w:r>
              <w:rPr>
                <w:rFonts w:ascii="Noto Sans CJK SC" w:hAnsi="Noto Sans CJK SC" w:eastAsia="Noto Sans CJK SC"/>
                <w:color w:val="222222"/>
                <w:sz w:val="21"/>
              </w:rPr>
              <w:t>交付修改优先级、少量改写示例和证据附录。</w:t>
            </w:r>
          </w:p>
        </w:tc>
      </w:tr>
    </w:tbl>
    <w:p>
      <w:pPr>
        <w:pStyle w:val="Heading2"/>
        <w:keepNext w:val="0"/>
        <w:widowControl/>
        <w:spacing w:before="360"/>
      </w:pPr>
      <w:r>
        <w:rPr>
          <w:rFonts w:ascii="Noto Sans CJK SC" w:hAnsi="Noto Sans CJK SC" w:eastAsia="Noto Sans CJK SC"/>
        </w:rPr>
        <w:t>明确不包含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10008"/>
            <w:shd w:fill="FFF2E3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left w:val="single" w:sz="18" w:color="E4862A"/>
              <w:top w:val="nil"/>
              <w:bottom w:val="nil"/>
              <w:right w:val="nil"/>
            </w:tcBorders>
          </w:tcPr>
          <w:p>
            <w:pPr>
              <w:spacing w:after="0" w:line="300" w:lineRule="auto"/>
            </w:pPr>
            <w:r>
              <w:rPr>
                <w:rFonts w:ascii="Noto Sans CJK SC" w:hAnsi="Noto Sans CJK SC" w:eastAsia="Noto Sans CJK SC"/>
                <w:color w:val="222222"/>
                <w:sz w:val="20"/>
              </w:rPr>
              <w:t>本样板不对产品安全性、临床有效性、广告合规性或监管状态作最终判断，也不替代牙科、医学、法律、实验室或认证机构的意见。</w:t>
            </w:r>
          </w:p>
        </w:tc>
      </w:tr>
    </w:tbl>
    <w:p>
      <w:pPr>
        <w:widowControl/>
        <w:spacing w:after="140"/>
      </w:pPr>
    </w:p>
    <w:p>
      <w:pPr>
        <w:widowControl/>
        <w:spacing w:before="200" w:after="60"/>
        <w:jc w:val="center"/>
      </w:pPr>
      <w:r>
        <w:rPr>
          <w:rFonts w:ascii="Noto Sans CJK SC" w:hAnsi="Noto Sans CJK SC" w:eastAsia="Noto Sans CJK SC"/>
          <w:b/>
          <w:color w:val="27204F"/>
          <w:sz w:val="30"/>
        </w:rPr>
        <w:t>HAPPY WHITENING</w:t>
      </w:r>
    </w:p>
    <w:p>
      <w:pPr>
        <w:widowControl/>
        <w:spacing w:after="0"/>
        <w:jc w:val="center"/>
      </w:pPr>
      <w:r>
        <w:rPr>
          <w:rFonts w:ascii="Noto Sans CJK SC" w:hAnsi="Noto Sans CJK SC" w:eastAsia="Noto Sans CJK SC"/>
          <w:b/>
          <w:color w:val="168B84"/>
          <w:sz w:val="16"/>
        </w:rPr>
        <w:t>Current Product Signals  |  Consumer Problems  |  Future Product Systems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50" w:left="1123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5004"/>
      <w:gridCol w:w="5004"/>
    </w:tblGrid>
    <w:tr>
      <w:tc>
        <w:tcPr>
          <w:tcW w:type="dxa" w:w="7992"/>
          <w:tcMar>
            <w:top w:w="0" w:type="dxa"/>
            <w:start w:w="0" w:type="dxa"/>
            <w:bottom w:w="0" w:type="dxa"/>
            <w:end w:w="0" w:type="dxa"/>
          </w:tcMar>
          <w:tcBorders>
            <w:top w:val="nil"/>
            <w:bottom w:val="nil"/>
            <w:left w:val="nil"/>
            <w:right w:val="nil"/>
          </w:tcBorders>
        </w:tcPr>
        <w:p>
          <w:pPr>
            <w:jc w:val="left"/>
          </w:pPr>
          <w:r>
            <w:rPr>
              <w:rFonts w:ascii="Noto Sans CJK SC" w:hAnsi="Noto Sans CJK SC" w:eastAsia="Noto Sans CJK SC"/>
              <w:color w:val="66666E"/>
              <w:sz w:val="14"/>
            </w:rPr>
            <w:t>Public-source demonstration sample  |  2026-08-03</w:t>
          </w:r>
        </w:p>
      </w:tc>
      <w:tc>
        <w:tcPr>
          <w:tcW w:type="dxa" w:w="2015"/>
          <w:tcMar>
            <w:top w:w="0" w:type="dxa"/>
            <w:start w:w="0" w:type="dxa"/>
            <w:bottom w:w="0" w:type="dxa"/>
            <w:end w:w="0" w:type="dxa"/>
          </w:tcMar>
          <w:tcBorders>
            <w:top w:val="nil"/>
            <w:bottom w:val="nil"/>
            <w:left w:val="nil"/>
            <w:right w:val="nil"/>
          </w:tcBorders>
        </w:tcPr>
        <w:p>
          <w:pPr>
            <w:jc w:val="right"/>
          </w:pPr>
          <w:r>
            <w:rPr>
              <w:rFonts w:ascii="Noto Sans CJK SC" w:hAnsi="Noto Sans CJK SC" w:eastAsia="Noto Sans CJK SC"/>
              <w:color w:val="66666E"/>
              <w:sz w:val="14"/>
            </w:rPr>
            <w:t xml:space="preserve">PAGE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Noto Sans CJK SC" w:hAnsi="Noto Sans CJK SC" w:eastAsia="Noto Sans CJK SC"/>
        <w:b/>
        <w:color w:val="27204F"/>
        <w:sz w:val="15"/>
      </w:rPr>
      <w:t>HAPPY WHITENING  |  CORE SKU REVIEW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12" w:lineRule="auto"/>
    </w:pPr>
    <w:rPr>
      <w:rFonts w:ascii="Noto Sans CJK SC" w:hAnsi="Noto Sans CJK SC" w:eastAsia="Noto Sans CJK SC"/>
      <w:color w:val="22222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0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7204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20" w:after="18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720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68B8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27204F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spacing w:before="0" w:after="100" w:line="293" w:lineRule="auto"/>
    </w:pPr>
    <w:rPr>
      <w:rFonts w:ascii="Noto Sans CJK SC" w:hAnsi="Noto Sans CJK SC" w:eastAsia="Noto Sans CJK SC"/>
      <w:b/>
      <w:color w:val="168B84"/>
      <w:sz w:val="17"/>
    </w:rPr>
  </w:style>
  <w:style w:type="paragraph" w:customStyle="1" w:styleId="PageIntro">
    <w:name w:val="PageIntro"/>
    <w:pPr>
      <w:spacing w:before="0" w:after="320" w:line="293" w:lineRule="auto"/>
    </w:pPr>
    <w:rPr>
      <w:rFonts w:ascii="Noto Sans CJK SC" w:hAnsi="Noto Sans CJK SC" w:eastAsia="Noto Sans CJK SC"/>
      <w:b w:val="0"/>
      <w:color w:val="66666E"/>
      <w:sz w:val="22"/>
    </w:rPr>
  </w:style>
  <w:style w:type="paragraph" w:customStyle="1" w:styleId="SmallNote">
    <w:name w:val="SmallNote"/>
    <w:pPr>
      <w:spacing w:before="40" w:after="60" w:line="293" w:lineRule="auto"/>
    </w:pPr>
    <w:rPr>
      <w:rFonts w:ascii="Noto Sans CJK SC" w:hAnsi="Noto Sans CJK SC" w:eastAsia="Noto Sans CJK SC"/>
      <w:b w:val="0"/>
      <w:color w:val="66666E"/>
      <w:sz w:val="18"/>
    </w:rPr>
  </w:style>
  <w:style w:type="paragraph" w:customStyle="1" w:styleId="CardTitle">
    <w:name w:val="CardTitle"/>
    <w:pPr>
      <w:spacing w:before="0" w:after="100" w:line="293" w:lineRule="auto"/>
    </w:pPr>
    <w:rPr>
      <w:rFonts w:ascii="Noto Sans CJK SC" w:hAnsi="Noto Sans CJK SC" w:eastAsia="Noto Sans CJK SC"/>
      <w:b/>
      <w:color w:val="27204F"/>
      <w:sz w:val="22"/>
    </w:rPr>
  </w:style>
  <w:style w:type="paragraph" w:customStyle="1" w:styleId="CardBody">
    <w:name w:val="CardBody"/>
    <w:pPr>
      <w:spacing w:before="0" w:after="80" w:line="293" w:lineRule="auto"/>
    </w:pPr>
    <w:rPr>
      <w:rFonts w:ascii="Noto Sans CJK SC" w:hAnsi="Noto Sans CJK SC" w:eastAsia="Noto Sans CJK SC"/>
      <w:b w:val="0"/>
      <w:color w:val="222222"/>
      <w:sz w:val="20"/>
    </w:rPr>
  </w:style>
  <w:style w:type="paragraph" w:customStyle="1" w:styleId="FooterSmall">
    <w:name w:val="FooterSmall"/>
    <w:pPr>
      <w:spacing w:before="0" w:after="0" w:line="293" w:lineRule="auto"/>
    </w:pPr>
    <w:rPr>
      <w:rFonts w:ascii="Noto Sans CJK SC" w:hAnsi="Noto Sans CJK SC" w:eastAsia="Noto Sans CJK SC"/>
      <w:b w:val="0"/>
      <w:color w:val="66666E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Happy Whitening Core SKU Review Demo - Lumineux</dc:title>
  <dc:subject>Public-source demonstration sample</dc:subject>
  <dc:creator>Happy Whitening</dc:creator>
  <cp:keywords>teeth whitening, SKU review, consumer issues, content consistency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